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pageBreakBefore w:val="1"/>
        <w:spacing w:line="360" w:lineRule="auto"/>
        <w:jc w:val="right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ru-RU"/>
        </w:rPr>
        <w:t xml:space="preserve">Приложение </w:t>
      </w:r>
      <w:r>
        <w:rPr>
          <w:rStyle w:val="None"/>
          <w:sz w:val="28"/>
          <w:szCs w:val="28"/>
          <w:rtl w:val="0"/>
          <w:lang w:val="ru-RU"/>
        </w:rPr>
        <w:t>3</w:t>
      </w:r>
    </w:p>
    <w:p>
      <w:pPr>
        <w:pStyle w:val="Обычный"/>
        <w:spacing w:line="360" w:lineRule="auto"/>
        <w:rPr>
          <w:rStyle w:val="None"/>
          <w:sz w:val="25"/>
          <w:szCs w:val="25"/>
        </w:rPr>
      </w:pPr>
      <w:r>
        <w:rPr>
          <w:rStyle w:val="None"/>
          <w:sz w:val="28"/>
          <w:szCs w:val="28"/>
          <w:rtl w:val="0"/>
          <w:lang w:val="ru-RU"/>
        </w:rPr>
        <w:t xml:space="preserve">Функции используемых в АО «МСМ № </w:t>
      </w:r>
      <w:r>
        <w:rPr>
          <w:rStyle w:val="None"/>
          <w:sz w:val="28"/>
          <w:szCs w:val="28"/>
          <w:rtl w:val="0"/>
          <w:lang w:val="ru-RU"/>
        </w:rPr>
        <w:t>4</w:t>
      </w:r>
      <w:r>
        <w:rPr>
          <w:rStyle w:val="None"/>
          <w:sz w:val="28"/>
          <w:szCs w:val="28"/>
          <w:rtl w:val="0"/>
          <w:lang w:val="ru-RU"/>
        </w:rPr>
        <w:t>» программ и «Контур Корпорация»</w:t>
      </w:r>
      <w:r>
        <w:rPr>
          <w:rStyle w:val="None"/>
          <w:sz w:val="28"/>
          <w:szCs w:val="28"/>
          <w:rtl w:val="0"/>
          <w:lang w:val="ru-RU"/>
        </w:rPr>
        <w:t>.</w:t>
      </w:r>
    </w:p>
    <w:tbl>
      <w:tblPr>
        <w:tblW w:w="1019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94"/>
        <w:gridCol w:w="1569"/>
        <w:gridCol w:w="1336"/>
      </w:tblGrid>
      <w:tr>
        <w:tblPrEx>
          <w:shd w:val="clear" w:color="auto" w:fill="4f81bd"/>
        </w:tblPrEx>
        <w:trPr>
          <w:trHeight w:val="412" w:hRule="atLeast"/>
          <w:tblHeader/>
        </w:trPr>
        <w:tc>
          <w:tcPr>
            <w:tcW w:type="dxa" w:w="7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sz w:val="18"/>
                <w:szCs w:val="18"/>
                <w:rtl w:val="0"/>
                <w:lang w:val="ru-RU"/>
              </w:rPr>
              <w:t>Возможности программы</w:t>
            </w:r>
          </w:p>
        </w:tc>
        <w:tc>
          <w:tcPr>
            <w:tcW w:type="dxa" w:w="1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sz w:val="18"/>
                <w:szCs w:val="18"/>
                <w:rtl w:val="0"/>
                <w:lang w:val="ru-RU"/>
              </w:rPr>
              <w:t>Используемые программы</w:t>
            </w:r>
          </w:p>
        </w:tc>
        <w:tc>
          <w:tcPr>
            <w:tcW w:type="dxa" w:w="1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sz w:val="18"/>
                <w:szCs w:val="18"/>
                <w:rtl w:val="0"/>
                <w:lang w:val="ru-RU"/>
              </w:rPr>
              <w:t>Контур Корпораци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я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sz w:val="18"/>
                <w:szCs w:val="18"/>
                <w:rtl w:val="0"/>
                <w:lang w:val="ru-RU"/>
              </w:rPr>
              <w:t>2</w:t>
            </w:r>
          </w:p>
        </w:tc>
        <w:tc>
          <w:tcPr>
            <w:tcW w:type="dxa" w:w="1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sz w:val="18"/>
                <w:szCs w:val="18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10199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sz w:val="18"/>
                <w:szCs w:val="18"/>
                <w:rtl w:val="0"/>
                <w:lang w:val="ru-RU"/>
              </w:rPr>
              <w:t>Целеполагание и построение модели бюджетирования и управленческого учета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1.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Делегирование ответственности и полномочий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</w:p>
        </w:tc>
        <w:tc>
          <w:tcPr>
            <w:tcW w:type="dxa" w:w="1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2.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Моделирование системы бюджетов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. </w:t>
            </w:r>
          </w:p>
        </w:tc>
        <w:tc>
          <w:tcPr>
            <w:tcW w:type="dxa" w:w="1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  <w:tc>
          <w:tcPr>
            <w:tcW w:type="dxa" w:w="1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3.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Универсальность системы бюджетирования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  <w:tc>
          <w:tcPr>
            <w:tcW w:type="dxa" w:w="1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4.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Настройка собственных отчетов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показателей и аналитик бюджетирования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  <w:tc>
          <w:tcPr>
            <w:tcW w:type="dxa" w:w="1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5.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Моделирование финансово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хозяйственной деятельности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. </w:t>
            </w:r>
          </w:p>
        </w:tc>
        <w:tc>
          <w:tcPr>
            <w:tcW w:type="dxa" w:w="1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</w:p>
        </w:tc>
        <w:tc>
          <w:tcPr>
            <w:tcW w:type="dxa" w:w="1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6.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Использование нормативов и лимитов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  <w:tc>
          <w:tcPr>
            <w:tcW w:type="dxa" w:w="1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7.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Поддержка международных стандартов финансовой отчетности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МСФО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). </w:t>
            </w:r>
          </w:p>
        </w:tc>
        <w:tc>
          <w:tcPr>
            <w:tcW w:type="dxa" w:w="1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</w:p>
        </w:tc>
        <w:tc>
          <w:tcPr>
            <w:tcW w:type="dxa" w:w="1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8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Управленческие аналитики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. </w:t>
            </w:r>
          </w:p>
        </w:tc>
        <w:tc>
          <w:tcPr>
            <w:tcW w:type="dxa" w:w="1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  <w:tc>
          <w:tcPr>
            <w:tcW w:type="dxa" w:w="1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10199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sz w:val="18"/>
                <w:szCs w:val="18"/>
                <w:rtl w:val="0"/>
                <w:lang w:val="ru-RU"/>
              </w:rPr>
              <w:t>Планирование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бюджетирование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None"/>
                <w:sz w:val="18"/>
                <w:szCs w:val="18"/>
                <w:rtl w:val="0"/>
                <w:lang w:val="ru-RU"/>
              </w:rPr>
              <w:t>9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Получение основных бюджетов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. </w:t>
            </w:r>
          </w:p>
        </w:tc>
        <w:tc>
          <w:tcPr>
            <w:tcW w:type="dxa" w:w="1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  <w:tc>
          <w:tcPr>
            <w:tcW w:type="dxa" w:w="1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None"/>
                <w:sz w:val="18"/>
                <w:szCs w:val="18"/>
                <w:rtl w:val="0"/>
                <w:lang w:val="ru-RU"/>
              </w:rPr>
              <w:t>1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0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Получение дополнительных бюджетов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. </w:t>
            </w:r>
          </w:p>
        </w:tc>
        <w:tc>
          <w:tcPr>
            <w:tcW w:type="dxa" w:w="1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</w:p>
        </w:tc>
        <w:tc>
          <w:tcPr>
            <w:tcW w:type="dxa" w:w="1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None"/>
                <w:sz w:val="18"/>
                <w:szCs w:val="18"/>
                <w:rtl w:val="0"/>
                <w:lang w:val="ru-RU"/>
              </w:rPr>
              <w:t>1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1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Установка целевых значений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. </w:t>
            </w:r>
          </w:p>
        </w:tc>
        <w:tc>
          <w:tcPr>
            <w:tcW w:type="dxa" w:w="1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  <w:tc>
          <w:tcPr>
            <w:tcW w:type="dxa" w:w="1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None"/>
                <w:sz w:val="18"/>
                <w:szCs w:val="18"/>
                <w:rtl w:val="0"/>
                <w:lang w:val="ru-RU"/>
              </w:rPr>
              <w:t>1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2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Планирование различных сценариев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. </w:t>
            </w:r>
          </w:p>
        </w:tc>
        <w:tc>
          <w:tcPr>
            <w:tcW w:type="dxa" w:w="1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  <w:tc>
          <w:tcPr>
            <w:tcW w:type="dxa" w:w="1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None"/>
                <w:sz w:val="18"/>
                <w:szCs w:val="18"/>
                <w:rtl w:val="0"/>
                <w:lang w:val="ru-RU"/>
              </w:rPr>
              <w:t>1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3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Специальные средства для упрощения планирования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</w:p>
        </w:tc>
        <w:tc>
          <w:tcPr>
            <w:tcW w:type="dxa" w:w="1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None"/>
                <w:sz w:val="18"/>
                <w:szCs w:val="18"/>
                <w:rtl w:val="0"/>
                <w:lang w:val="ru-RU"/>
              </w:rPr>
              <w:t>1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4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Планирование в произвольных периодах времени и с произвольной дискретностью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</w:p>
        </w:tc>
        <w:tc>
          <w:tcPr>
            <w:tcW w:type="dxa" w:w="1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None"/>
                <w:sz w:val="18"/>
                <w:szCs w:val="18"/>
                <w:rtl w:val="0"/>
                <w:lang w:val="ru-RU"/>
              </w:rPr>
              <w:t>1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5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Утверждение планов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</w:p>
        </w:tc>
        <w:tc>
          <w:tcPr>
            <w:tcW w:type="dxa" w:w="1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10199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sz w:val="18"/>
                <w:szCs w:val="18"/>
                <w:rtl w:val="0"/>
                <w:lang w:val="ru-RU"/>
              </w:rPr>
              <w:t>Учет и контроль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None"/>
                <w:sz w:val="18"/>
                <w:szCs w:val="18"/>
                <w:rtl w:val="0"/>
                <w:lang w:val="ru-RU"/>
              </w:rPr>
              <w:t>16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Внутрихолдинговые операции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  <w:tc>
          <w:tcPr>
            <w:tcW w:type="dxa" w:w="1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17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Связь с учетными системами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</w:p>
        </w:tc>
        <w:tc>
          <w:tcPr>
            <w:tcW w:type="dxa" w:w="1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10199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sz w:val="18"/>
                <w:szCs w:val="18"/>
                <w:rtl w:val="0"/>
                <w:lang w:val="ru-RU"/>
              </w:rPr>
              <w:t>Анализ и внесение корректив в бюджеты и цели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18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Консолидация данных для холдингов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управляющих компаний и корпораций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. </w:t>
            </w:r>
          </w:p>
        </w:tc>
        <w:tc>
          <w:tcPr>
            <w:tcW w:type="dxa" w:w="1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  <w:tc>
          <w:tcPr>
            <w:tcW w:type="dxa" w:w="1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7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19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Анализ плановых и фактических структуры затрат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расчет безубыточности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себестоимости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маржи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рентабельности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  <w:tc>
          <w:tcPr>
            <w:tcW w:type="dxa" w:w="1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None"/>
                <w:sz w:val="18"/>
                <w:szCs w:val="18"/>
                <w:rtl w:val="0"/>
                <w:lang w:val="ru-RU"/>
              </w:rPr>
              <w:t>2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0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Факторный анализ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  <w:tc>
          <w:tcPr>
            <w:tcW w:type="dxa" w:w="1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21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. OLAP-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отчеты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</w:p>
        </w:tc>
        <w:tc>
          <w:tcPr>
            <w:tcW w:type="dxa" w:w="1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10199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sz w:val="18"/>
                <w:szCs w:val="18"/>
                <w:rtl w:val="0"/>
                <w:lang w:val="ru-RU"/>
              </w:rPr>
              <w:t>Технические возможности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None"/>
                <w:sz w:val="18"/>
                <w:szCs w:val="18"/>
                <w:rtl w:val="0"/>
                <w:lang w:val="ru-RU"/>
              </w:rPr>
              <w:t>2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2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Использование управленческого плана счетов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</w:p>
        </w:tc>
        <w:tc>
          <w:tcPr>
            <w:tcW w:type="dxa" w:w="1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None"/>
                <w:sz w:val="18"/>
                <w:szCs w:val="18"/>
                <w:rtl w:val="0"/>
                <w:lang w:val="ru-RU"/>
              </w:rPr>
              <w:t>2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3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Многовалютный учет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. </w:t>
            </w:r>
          </w:p>
        </w:tc>
        <w:tc>
          <w:tcPr>
            <w:tcW w:type="dxa" w:w="1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</w:p>
        </w:tc>
        <w:tc>
          <w:tcPr>
            <w:tcW w:type="dxa" w:w="1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24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Возможность предоставления отчетов за произвольный период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. </w:t>
            </w:r>
          </w:p>
        </w:tc>
        <w:tc>
          <w:tcPr>
            <w:tcW w:type="dxa" w:w="1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  <w:tc>
          <w:tcPr>
            <w:tcW w:type="dxa" w:w="1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25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Использование произвольных форм ввода данных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</w:p>
        </w:tc>
        <w:tc>
          <w:tcPr>
            <w:tcW w:type="dxa" w:w="1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26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Документооборот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. </w:t>
            </w:r>
          </w:p>
        </w:tc>
        <w:tc>
          <w:tcPr>
            <w:tcW w:type="dxa" w:w="1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</w:p>
        </w:tc>
        <w:tc>
          <w:tcPr>
            <w:tcW w:type="dxa" w:w="1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27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Встроенные средства обмена данными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</w:p>
        </w:tc>
        <w:tc>
          <w:tcPr>
            <w:tcW w:type="dxa" w:w="1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28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Разграничение доступа к данным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. </w:t>
            </w:r>
          </w:p>
        </w:tc>
        <w:tc>
          <w:tcPr>
            <w:tcW w:type="dxa" w:w="1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  <w:tc>
          <w:tcPr>
            <w:tcW w:type="dxa" w:w="1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29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>Многоуровневые управленческие аналитики</w:t>
            </w:r>
            <w:r>
              <w:rPr>
                <w:rStyle w:val="None"/>
                <w:sz w:val="18"/>
                <w:szCs w:val="18"/>
                <w:rtl w:val="0"/>
                <w:lang w:val="ru-RU"/>
              </w:rPr>
              <w:t xml:space="preserve">. </w:t>
            </w:r>
          </w:p>
        </w:tc>
        <w:tc>
          <w:tcPr>
            <w:tcW w:type="dxa" w:w="1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</w:p>
        </w:tc>
        <w:tc>
          <w:tcPr>
            <w:tcW w:type="dxa" w:w="1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ru-RU"/>
              </w:rPr>
              <w:t>+</w:t>
            </w:r>
          </w:p>
        </w:tc>
      </w:tr>
    </w:tbl>
    <w:p>
      <w:pPr>
        <w:pStyle w:val="Обычный"/>
        <w:widowControl w:val="0"/>
        <w:ind w:left="0" w:firstLine="0"/>
      </w:pPr>
      <w:r>
        <w:rPr>
          <w:rStyle w:val="None"/>
          <w:sz w:val="25"/>
          <w:szCs w:val="25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850" w:right="567" w:bottom="850" w:left="1134" w:header="720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character" w:styleId="None">
    <w:name w:val="None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